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BEA0C" w14:textId="77777777"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2027 HTF Program Proposed Changes</w:t>
      </w:r>
    </w:p>
    <w:p w14:paraId="0A80212D" w14:textId="77777777" w:rsidR="00940092" w:rsidRDefault="00940092" w:rsidP="006817B6">
      <w:pPr>
        <w:rPr>
          <w:rFonts w:ascii="Times New Roman" w:hAnsi="Times New Roman" w:cs="Times New Roman"/>
          <w:sz w:val="24"/>
          <w:szCs w:val="24"/>
          <w:lang w:val="en-US"/>
        </w:rPr>
      </w:pPr>
      <w:r w:rsidRPr="00940092">
        <w:rPr>
          <w:rFonts w:ascii="Times New Roman" w:hAnsi="Times New Roman" w:cs="Times New Roman"/>
          <w:sz w:val="24"/>
          <w:szCs w:val="24"/>
          <w:lang w:val="en-US"/>
        </w:rPr>
        <w:t>OHFA is releasing both clean and redline versions of the HTF Application. Because the Application was substantially reorganized and rewritten to improve clarity, consistency, and ease of use, the redline version may be difficult to follow in some sections. Reviewers are encouraged to use the clean version for a comprehensive review and the redline version to identify specific edits and policy changes. Most revisions consist of clarifications, reorganization of existing requirements, incorporation of existing staff guidance, and documentation of current review practices. No substantive changes were made to the HTF scoring system, funding priorities, or overall point structure.</w:t>
      </w:r>
    </w:p>
    <w:p w14:paraId="7327DE56" w14:textId="55070CBA" w:rsidR="008E5EF5" w:rsidRPr="00940092" w:rsidRDefault="008E5EF5" w:rsidP="006817B6">
      <w:pPr>
        <w:rPr>
          <w:rFonts w:ascii="Times New Roman" w:hAnsi="Times New Roman" w:cs="Times New Roman"/>
          <w:b/>
          <w:bCs/>
          <w:sz w:val="24"/>
          <w:szCs w:val="24"/>
          <w:lang w:val="en-US"/>
        </w:rPr>
      </w:pPr>
      <w:r w:rsidRPr="00940092">
        <w:rPr>
          <w:rFonts w:ascii="Times New Roman" w:hAnsi="Times New Roman" w:cs="Times New Roman"/>
          <w:b/>
          <w:bCs/>
          <w:sz w:val="24"/>
          <w:szCs w:val="24"/>
          <w:lang w:val="en-US"/>
        </w:rPr>
        <w:t>General Program Administration</w:t>
      </w:r>
    </w:p>
    <w:p w14:paraId="4B04539F" w14:textId="77777777" w:rsidR="008E5EF5" w:rsidRDefault="008E5EF5" w:rsidP="008E5EF5">
      <w:pPr>
        <w:pStyle w:val="ListParagraph"/>
        <w:numPr>
          <w:ilvl w:val="0"/>
          <w:numId w:val="8"/>
        </w:numPr>
        <w:rPr>
          <w:rFonts w:ascii="Times New Roman" w:hAnsi="Times New Roman" w:cs="Times New Roman"/>
          <w:sz w:val="24"/>
          <w:szCs w:val="24"/>
          <w:lang w:val="en-US"/>
        </w:rPr>
      </w:pPr>
      <w:r w:rsidRPr="008E5EF5">
        <w:rPr>
          <w:rFonts w:ascii="Times New Roman" w:hAnsi="Times New Roman" w:cs="Times New Roman"/>
          <w:sz w:val="24"/>
          <w:szCs w:val="24"/>
          <w:lang w:val="en-US"/>
        </w:rPr>
        <w:t xml:space="preserve">Reorganized existing requirements into more logical sections to improve application usability and reduce duplication. </w:t>
      </w:r>
    </w:p>
    <w:p w14:paraId="57840567" w14:textId="327FC752" w:rsidR="008E5EF5" w:rsidRPr="008E5EF5" w:rsidRDefault="008E5EF5" w:rsidP="006817B6">
      <w:pPr>
        <w:pStyle w:val="ListParagraph"/>
        <w:numPr>
          <w:ilvl w:val="0"/>
          <w:numId w:val="8"/>
        </w:numPr>
        <w:rPr>
          <w:rFonts w:ascii="Times New Roman" w:hAnsi="Times New Roman" w:cs="Times New Roman"/>
          <w:sz w:val="24"/>
          <w:szCs w:val="24"/>
          <w:lang w:val="en-US"/>
        </w:rPr>
      </w:pPr>
      <w:r w:rsidRPr="008E5EF5">
        <w:rPr>
          <w:rFonts w:ascii="Times New Roman" w:hAnsi="Times New Roman" w:cs="Times New Roman"/>
          <w:sz w:val="24"/>
          <w:szCs w:val="24"/>
          <w:lang w:val="en-US"/>
        </w:rPr>
        <w:t>Incorporated existing staff guidance and frequently asked questions directly into the Application Packet.</w:t>
      </w:r>
    </w:p>
    <w:p w14:paraId="38C0E6CF" w14:textId="77777777"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Application &amp; Administrative Improvements</w:t>
      </w:r>
    </w:p>
    <w:p w14:paraId="54335C7D" w14:textId="77777777" w:rsidR="00940092" w:rsidRPr="00940092" w:rsidRDefault="00940092" w:rsidP="008E5EF5">
      <w:pPr>
        <w:pStyle w:val="ListParagraph"/>
        <w:numPr>
          <w:ilvl w:val="0"/>
          <w:numId w:val="1"/>
        </w:numPr>
        <w:spacing w:after="0" w:line="300" w:lineRule="atLeast"/>
        <w:rPr>
          <w:rFonts w:ascii="Times New Roman" w:eastAsia="Times New Roman" w:hAnsi="Times New Roman" w:cs="Times New Roman"/>
          <w:sz w:val="24"/>
          <w:szCs w:val="24"/>
          <w:lang w:val="en-US"/>
          <w14:ligatures w14:val="none"/>
        </w:rPr>
      </w:pPr>
      <w:r w:rsidRPr="00940092">
        <w:rPr>
          <w:rFonts w:ascii="Times New Roman" w:hAnsi="Times New Roman" w:cs="Times New Roman"/>
          <w:sz w:val="24"/>
          <w:szCs w:val="24"/>
          <w:lang w:val="en-US"/>
        </w:rPr>
        <w:t>Added and reorganized Program Purpose, Income Targeting, Application Limits, Development Definition, and Period of Affordability sections for clarity and ease of reference.</w:t>
      </w:r>
    </w:p>
    <w:p w14:paraId="0D2C15E2" w14:textId="02A6CDD7" w:rsidR="008E5EF5" w:rsidRPr="008E5EF5" w:rsidRDefault="008E5EF5" w:rsidP="008E5EF5">
      <w:pPr>
        <w:pStyle w:val="ListParagraph"/>
        <w:numPr>
          <w:ilvl w:val="0"/>
          <w:numId w:val="1"/>
        </w:numPr>
        <w:spacing w:after="0" w:line="300" w:lineRule="atLeast"/>
        <w:rPr>
          <w:rFonts w:ascii="Times New Roman" w:eastAsia="Times New Roman" w:hAnsi="Times New Roman" w:cs="Times New Roman"/>
          <w:sz w:val="24"/>
          <w:szCs w:val="24"/>
          <w:lang w:val="en-US"/>
          <w14:ligatures w14:val="none"/>
        </w:rPr>
      </w:pPr>
      <w:r w:rsidRPr="008E5EF5">
        <w:rPr>
          <w:rFonts w:ascii="Times New Roman" w:eastAsia="Times New Roman" w:hAnsi="Times New Roman" w:cs="Times New Roman"/>
          <w:sz w:val="24"/>
          <w:szCs w:val="24"/>
          <w:lang w:val="en-US"/>
          <w14:ligatures w14:val="none"/>
        </w:rPr>
        <w:t>Added a Submission Checklist and Scoring Summary Certification to assist applicants with application completeness and scoring documentation.</w:t>
      </w:r>
    </w:p>
    <w:p w14:paraId="0B85E082" w14:textId="77777777" w:rsidR="008E5EF5" w:rsidRDefault="008E5EF5" w:rsidP="006817B6">
      <w:pPr>
        <w:pStyle w:val="ListParagraph"/>
        <w:numPr>
          <w:ilvl w:val="0"/>
          <w:numId w:val="1"/>
        </w:numPr>
        <w:rPr>
          <w:rFonts w:ascii="Times New Roman" w:hAnsi="Times New Roman" w:cs="Times New Roman"/>
          <w:sz w:val="24"/>
          <w:szCs w:val="24"/>
          <w:lang w:val="en-US"/>
        </w:rPr>
      </w:pPr>
      <w:r w:rsidRPr="008E5EF5">
        <w:rPr>
          <w:rFonts w:ascii="Times New Roman" w:hAnsi="Times New Roman" w:cs="Times New Roman"/>
          <w:sz w:val="24"/>
          <w:szCs w:val="24"/>
          <w:lang w:val="en-US"/>
        </w:rPr>
        <w:t>Formalized the Preliminary Review Report, Response Period, and Final Review Report process to provide applicants with clearer feedback and review expectations.</w:t>
      </w:r>
    </w:p>
    <w:p w14:paraId="3E322145" w14:textId="072E0516" w:rsidR="006817B6" w:rsidRDefault="006817B6" w:rsidP="006817B6">
      <w:pPr>
        <w:pStyle w:val="ListParagraph"/>
        <w:numPr>
          <w:ilvl w:val="0"/>
          <w:numId w:val="1"/>
        </w:numPr>
        <w:rPr>
          <w:rFonts w:ascii="Times New Roman" w:hAnsi="Times New Roman" w:cs="Times New Roman"/>
          <w:sz w:val="24"/>
          <w:szCs w:val="24"/>
          <w:lang w:val="en-US"/>
        </w:rPr>
      </w:pPr>
      <w:r w:rsidRPr="006817B6">
        <w:rPr>
          <w:rFonts w:ascii="Times New Roman" w:hAnsi="Times New Roman" w:cs="Times New Roman"/>
          <w:sz w:val="24"/>
          <w:szCs w:val="24"/>
          <w:lang w:val="en-US"/>
        </w:rPr>
        <w:t>Clarified Board consideration, appeal procedures, and funding commitment requirements.</w:t>
      </w:r>
    </w:p>
    <w:p w14:paraId="489F0F99" w14:textId="77777777"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Environmental Review &amp; Site Standards</w:t>
      </w:r>
    </w:p>
    <w:p w14:paraId="260D37C1" w14:textId="79A50EB7" w:rsidR="006817B6" w:rsidRPr="006817B6" w:rsidRDefault="006817B6" w:rsidP="006817B6">
      <w:pPr>
        <w:pStyle w:val="ListParagraph"/>
        <w:numPr>
          <w:ilvl w:val="0"/>
          <w:numId w:val="3"/>
        </w:numPr>
        <w:rPr>
          <w:rFonts w:ascii="Times New Roman" w:hAnsi="Times New Roman" w:cs="Times New Roman"/>
          <w:sz w:val="24"/>
          <w:szCs w:val="24"/>
          <w:lang w:val="en-US"/>
        </w:rPr>
      </w:pPr>
      <w:r w:rsidRPr="006817B6">
        <w:rPr>
          <w:rFonts w:ascii="Times New Roman" w:hAnsi="Times New Roman" w:cs="Times New Roman"/>
          <w:sz w:val="24"/>
          <w:szCs w:val="24"/>
          <w:lang w:val="en-US"/>
        </w:rPr>
        <w:t>Clarified documentation requirements related to HUD Site and Neighborhood Standards</w:t>
      </w:r>
      <w:r>
        <w:rPr>
          <w:rFonts w:ascii="Times New Roman" w:hAnsi="Times New Roman" w:cs="Times New Roman"/>
          <w:sz w:val="24"/>
          <w:szCs w:val="24"/>
          <w:lang w:val="en-US"/>
        </w:rPr>
        <w:t xml:space="preserve"> to include </w:t>
      </w:r>
      <w:r w:rsidRPr="006817B6">
        <w:rPr>
          <w:rFonts w:ascii="Times New Roman" w:hAnsi="Times New Roman" w:cs="Times New Roman"/>
          <w:sz w:val="24"/>
          <w:szCs w:val="24"/>
          <w:lang w:val="en-US"/>
        </w:rPr>
        <w:t xml:space="preserve">HUD’s </w:t>
      </w:r>
      <w:r w:rsidR="008E5EF5">
        <w:rPr>
          <w:rFonts w:ascii="Times New Roman" w:hAnsi="Times New Roman" w:cs="Times New Roman"/>
          <w:sz w:val="24"/>
          <w:szCs w:val="24"/>
          <w:lang w:val="en-US"/>
        </w:rPr>
        <w:t>M</w:t>
      </w:r>
      <w:r w:rsidRPr="006817B6">
        <w:rPr>
          <w:rFonts w:ascii="Times New Roman" w:hAnsi="Times New Roman" w:cs="Times New Roman"/>
          <w:sz w:val="24"/>
          <w:szCs w:val="24"/>
          <w:lang w:val="en-US"/>
        </w:rPr>
        <w:t>inority Concentration Analysis report.</w:t>
      </w:r>
    </w:p>
    <w:p w14:paraId="192634BB" w14:textId="4DA74BA1" w:rsidR="006817B6" w:rsidRPr="006817B6" w:rsidRDefault="006817B6" w:rsidP="006817B6">
      <w:pPr>
        <w:pStyle w:val="ListParagraph"/>
        <w:numPr>
          <w:ilvl w:val="0"/>
          <w:numId w:val="3"/>
        </w:numPr>
        <w:rPr>
          <w:rFonts w:ascii="Times New Roman" w:hAnsi="Times New Roman" w:cs="Times New Roman"/>
          <w:sz w:val="24"/>
          <w:szCs w:val="24"/>
          <w:lang w:val="en-US"/>
        </w:rPr>
      </w:pPr>
      <w:r w:rsidRPr="006817B6">
        <w:rPr>
          <w:rFonts w:ascii="Times New Roman" w:hAnsi="Times New Roman" w:cs="Times New Roman"/>
          <w:sz w:val="24"/>
          <w:szCs w:val="24"/>
          <w:lang w:val="en-US"/>
        </w:rPr>
        <w:t>Combined Environmental Review and Fair Housing training requirements into a single threshold section.</w:t>
      </w:r>
    </w:p>
    <w:p w14:paraId="69C1B3BC" w14:textId="77777777"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Underwriting &amp; Risk Management</w:t>
      </w:r>
    </w:p>
    <w:p w14:paraId="40DD8C0C" w14:textId="77777777" w:rsidR="008E5EF5" w:rsidRDefault="008E5EF5" w:rsidP="006817B6">
      <w:pPr>
        <w:pStyle w:val="ListParagraph"/>
        <w:numPr>
          <w:ilvl w:val="0"/>
          <w:numId w:val="4"/>
        </w:numPr>
        <w:rPr>
          <w:rFonts w:ascii="Times New Roman" w:hAnsi="Times New Roman" w:cs="Times New Roman"/>
          <w:sz w:val="24"/>
          <w:szCs w:val="24"/>
          <w:lang w:val="en-US"/>
        </w:rPr>
      </w:pPr>
      <w:r w:rsidRPr="008E5EF5">
        <w:rPr>
          <w:rFonts w:ascii="Times New Roman" w:hAnsi="Times New Roman" w:cs="Times New Roman"/>
          <w:sz w:val="24"/>
          <w:szCs w:val="24"/>
          <w:lang w:val="en-US"/>
        </w:rPr>
        <w:t>Clarified Audit and Financial Capacity requirements and consolidated existing financial review practices into one section.</w:t>
      </w:r>
    </w:p>
    <w:p w14:paraId="0DC98A74" w14:textId="311D01DF" w:rsidR="006817B6" w:rsidRDefault="006817B6" w:rsidP="006817B6">
      <w:pPr>
        <w:pStyle w:val="ListParagraph"/>
        <w:numPr>
          <w:ilvl w:val="0"/>
          <w:numId w:val="4"/>
        </w:numPr>
        <w:rPr>
          <w:rFonts w:ascii="Times New Roman" w:hAnsi="Times New Roman" w:cs="Times New Roman"/>
          <w:sz w:val="24"/>
          <w:szCs w:val="24"/>
          <w:lang w:val="en-US"/>
        </w:rPr>
      </w:pPr>
      <w:r w:rsidRPr="006817B6">
        <w:rPr>
          <w:rFonts w:ascii="Times New Roman" w:hAnsi="Times New Roman" w:cs="Times New Roman"/>
          <w:sz w:val="24"/>
          <w:szCs w:val="24"/>
          <w:lang w:val="en-US"/>
        </w:rPr>
        <w:t>Allows guarantees to be considered during underwriting if the guarantor has sufficient financial capacity and is willing to sign an OHFA-provided guaranty agreement.</w:t>
      </w:r>
    </w:p>
    <w:p w14:paraId="1F80A6E9" w14:textId="77777777" w:rsidR="00940092" w:rsidRDefault="00940092" w:rsidP="006817B6">
      <w:pPr>
        <w:pStyle w:val="ListParagraph"/>
        <w:numPr>
          <w:ilvl w:val="0"/>
          <w:numId w:val="4"/>
        </w:numPr>
        <w:rPr>
          <w:rFonts w:ascii="Times New Roman" w:hAnsi="Times New Roman" w:cs="Times New Roman"/>
          <w:sz w:val="24"/>
          <w:szCs w:val="24"/>
          <w:lang w:val="en-US"/>
        </w:rPr>
      </w:pPr>
      <w:r w:rsidRPr="00940092">
        <w:rPr>
          <w:rFonts w:ascii="Times New Roman" w:hAnsi="Times New Roman" w:cs="Times New Roman"/>
          <w:sz w:val="24"/>
          <w:szCs w:val="24"/>
          <w:lang w:val="en-US"/>
        </w:rPr>
        <w:t>Clarified financial review standards for guarantors and single-purpose entities.</w:t>
      </w:r>
    </w:p>
    <w:p w14:paraId="099F439E" w14:textId="66FD53B1" w:rsidR="006817B6" w:rsidRDefault="006817B6" w:rsidP="006817B6">
      <w:pPr>
        <w:pStyle w:val="ListParagraph"/>
        <w:numPr>
          <w:ilvl w:val="0"/>
          <w:numId w:val="4"/>
        </w:numPr>
        <w:rPr>
          <w:rFonts w:ascii="Times New Roman" w:hAnsi="Times New Roman" w:cs="Times New Roman"/>
          <w:sz w:val="24"/>
          <w:szCs w:val="24"/>
          <w:lang w:val="en-US"/>
        </w:rPr>
      </w:pPr>
      <w:r w:rsidRPr="006817B6">
        <w:rPr>
          <w:rFonts w:ascii="Times New Roman" w:hAnsi="Times New Roman" w:cs="Times New Roman"/>
          <w:sz w:val="24"/>
          <w:szCs w:val="24"/>
          <w:lang w:val="en-US"/>
        </w:rPr>
        <w:t>Clarified financial capacity documentation requirements</w:t>
      </w:r>
      <w:r w:rsidR="008E5EF5">
        <w:rPr>
          <w:rFonts w:ascii="Times New Roman" w:hAnsi="Times New Roman" w:cs="Times New Roman"/>
          <w:sz w:val="24"/>
          <w:szCs w:val="24"/>
          <w:lang w:val="en-US"/>
        </w:rPr>
        <w:t>.</w:t>
      </w:r>
    </w:p>
    <w:p w14:paraId="2C5DECBC" w14:textId="77777777"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Development Feasibility &amp; Readiness</w:t>
      </w:r>
    </w:p>
    <w:p w14:paraId="1F76B122" w14:textId="77777777" w:rsidR="008E5EF5" w:rsidRDefault="008E5EF5" w:rsidP="008E5EF5">
      <w:pPr>
        <w:pStyle w:val="ListParagraph"/>
        <w:numPr>
          <w:ilvl w:val="0"/>
          <w:numId w:val="5"/>
        </w:numPr>
        <w:rPr>
          <w:rFonts w:ascii="Times New Roman" w:hAnsi="Times New Roman" w:cs="Times New Roman"/>
          <w:sz w:val="24"/>
          <w:szCs w:val="24"/>
          <w:lang w:val="en-US"/>
        </w:rPr>
      </w:pPr>
      <w:r w:rsidRPr="008E5EF5">
        <w:rPr>
          <w:rFonts w:ascii="Times New Roman" w:hAnsi="Times New Roman" w:cs="Times New Roman"/>
          <w:sz w:val="24"/>
          <w:szCs w:val="24"/>
          <w:lang w:val="en-US"/>
        </w:rPr>
        <w:t xml:space="preserve">Clarified </w:t>
      </w:r>
      <w:r w:rsidR="006817B6" w:rsidRPr="008E5EF5">
        <w:rPr>
          <w:rFonts w:ascii="Times New Roman" w:hAnsi="Times New Roman" w:cs="Times New Roman"/>
          <w:sz w:val="24"/>
          <w:szCs w:val="24"/>
          <w:lang w:val="en-US"/>
        </w:rPr>
        <w:t>site control documentation standards</w:t>
      </w:r>
      <w:r>
        <w:rPr>
          <w:rFonts w:ascii="Times New Roman" w:hAnsi="Times New Roman" w:cs="Times New Roman"/>
          <w:sz w:val="24"/>
          <w:szCs w:val="24"/>
          <w:lang w:val="en-US"/>
        </w:rPr>
        <w:t xml:space="preserve"> and zoning verification requirements</w:t>
      </w:r>
      <w:r w:rsidR="006817B6" w:rsidRPr="008E5EF5">
        <w:rPr>
          <w:rFonts w:ascii="Times New Roman" w:hAnsi="Times New Roman" w:cs="Times New Roman"/>
          <w:sz w:val="24"/>
          <w:szCs w:val="24"/>
          <w:lang w:val="en-US"/>
        </w:rPr>
        <w:t>.</w:t>
      </w:r>
    </w:p>
    <w:p w14:paraId="35135426" w14:textId="77777777" w:rsidR="008E5EF5" w:rsidRDefault="008E5EF5" w:rsidP="008E5EF5">
      <w:pPr>
        <w:pStyle w:val="ListParagraph"/>
        <w:numPr>
          <w:ilvl w:val="0"/>
          <w:numId w:val="5"/>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Clarified implementation schedule requirements</w:t>
      </w:r>
      <w:r w:rsidR="006817B6" w:rsidRPr="008E5EF5">
        <w:rPr>
          <w:rFonts w:ascii="Times New Roman" w:hAnsi="Times New Roman" w:cs="Times New Roman"/>
          <w:sz w:val="24"/>
          <w:szCs w:val="24"/>
          <w:lang w:val="en-US"/>
        </w:rPr>
        <w:t>.</w:t>
      </w:r>
    </w:p>
    <w:p w14:paraId="797C0F72" w14:textId="77777777" w:rsidR="00940092" w:rsidRDefault="00940092" w:rsidP="006817B6">
      <w:pPr>
        <w:pStyle w:val="ListParagraph"/>
        <w:numPr>
          <w:ilvl w:val="0"/>
          <w:numId w:val="5"/>
        </w:numPr>
        <w:rPr>
          <w:rFonts w:ascii="Times New Roman" w:hAnsi="Times New Roman" w:cs="Times New Roman"/>
          <w:sz w:val="24"/>
          <w:szCs w:val="24"/>
          <w:lang w:val="en-US"/>
        </w:rPr>
      </w:pPr>
      <w:r w:rsidRPr="00940092">
        <w:rPr>
          <w:rFonts w:ascii="Times New Roman" w:hAnsi="Times New Roman" w:cs="Times New Roman"/>
          <w:sz w:val="24"/>
          <w:szCs w:val="24"/>
          <w:lang w:val="en-US"/>
        </w:rPr>
        <w:t>Added reference to URA Seller Notice requirements when applicable.</w:t>
      </w:r>
    </w:p>
    <w:p w14:paraId="2B25245C" w14:textId="4955BE8D" w:rsidR="008E5EF5" w:rsidRPr="008E5EF5" w:rsidRDefault="008E5EF5" w:rsidP="006817B6">
      <w:pPr>
        <w:pStyle w:val="ListParagraph"/>
        <w:numPr>
          <w:ilvl w:val="0"/>
          <w:numId w:val="5"/>
        </w:numPr>
        <w:rPr>
          <w:rFonts w:ascii="Times New Roman" w:hAnsi="Times New Roman" w:cs="Times New Roman"/>
          <w:sz w:val="24"/>
          <w:szCs w:val="24"/>
          <w:lang w:val="en-US"/>
        </w:rPr>
      </w:pPr>
      <w:r w:rsidRPr="008E5EF5">
        <w:rPr>
          <w:rFonts w:ascii="Times New Roman" w:hAnsi="Times New Roman" w:cs="Times New Roman"/>
          <w:sz w:val="24"/>
          <w:szCs w:val="24"/>
          <w:lang w:val="en-US"/>
        </w:rPr>
        <w:t>Clarified Organizational Structure and Experience requirements, including documentation expectations for single-purpose entities.</w:t>
      </w:r>
    </w:p>
    <w:p w14:paraId="4E95C461" w14:textId="0486317C"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Underwriting, Market Analysis &amp; Project Review</w:t>
      </w:r>
    </w:p>
    <w:p w14:paraId="6FCF2169" w14:textId="77777777" w:rsidR="006817B6" w:rsidRDefault="006817B6" w:rsidP="006817B6">
      <w:pPr>
        <w:pStyle w:val="ListParagraph"/>
        <w:numPr>
          <w:ilvl w:val="0"/>
          <w:numId w:val="6"/>
        </w:numPr>
        <w:rPr>
          <w:rFonts w:ascii="Times New Roman" w:hAnsi="Times New Roman" w:cs="Times New Roman"/>
          <w:sz w:val="24"/>
          <w:szCs w:val="24"/>
          <w:lang w:val="en-US"/>
        </w:rPr>
      </w:pPr>
      <w:r w:rsidRPr="006817B6">
        <w:rPr>
          <w:rFonts w:ascii="Times New Roman" w:hAnsi="Times New Roman" w:cs="Times New Roman"/>
          <w:sz w:val="24"/>
          <w:szCs w:val="24"/>
          <w:lang w:val="en-US"/>
        </w:rPr>
        <w:t>Consolidated Affordable Rents and Financing, Underwriting, and Subsidy Layering into a single threshold section.</w:t>
      </w:r>
    </w:p>
    <w:p w14:paraId="3D0808A4" w14:textId="77777777" w:rsidR="008E5EF5" w:rsidRDefault="008E5EF5" w:rsidP="006817B6">
      <w:pPr>
        <w:pStyle w:val="ListParagraph"/>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C</w:t>
      </w:r>
      <w:r w:rsidR="006817B6" w:rsidRPr="006817B6">
        <w:rPr>
          <w:rFonts w:ascii="Times New Roman" w:hAnsi="Times New Roman" w:cs="Times New Roman"/>
          <w:sz w:val="24"/>
          <w:szCs w:val="24"/>
          <w:lang w:val="en-US"/>
        </w:rPr>
        <w:t xml:space="preserve">larified documentation for funding commitments, operating pro </w:t>
      </w:r>
      <w:proofErr w:type="spellStart"/>
      <w:r w:rsidR="006817B6" w:rsidRPr="006817B6">
        <w:rPr>
          <w:rFonts w:ascii="Times New Roman" w:hAnsi="Times New Roman" w:cs="Times New Roman"/>
          <w:sz w:val="24"/>
          <w:szCs w:val="24"/>
          <w:lang w:val="en-US"/>
        </w:rPr>
        <w:t>formas</w:t>
      </w:r>
      <w:proofErr w:type="spellEnd"/>
      <w:r w:rsidR="006817B6" w:rsidRPr="006817B6">
        <w:rPr>
          <w:rFonts w:ascii="Times New Roman" w:hAnsi="Times New Roman" w:cs="Times New Roman"/>
          <w:sz w:val="24"/>
          <w:szCs w:val="24"/>
          <w:lang w:val="en-US"/>
        </w:rPr>
        <w:t>, rents, utility allowances, and subsidy layering reviews</w:t>
      </w:r>
      <w:r>
        <w:rPr>
          <w:rFonts w:ascii="Times New Roman" w:hAnsi="Times New Roman" w:cs="Times New Roman"/>
          <w:sz w:val="24"/>
          <w:szCs w:val="24"/>
          <w:lang w:val="en-US"/>
        </w:rPr>
        <w:t>.</w:t>
      </w:r>
    </w:p>
    <w:p w14:paraId="08B0266F" w14:textId="2189C2EF" w:rsidR="008E5EF5" w:rsidRPr="008E5EF5" w:rsidRDefault="008E5EF5" w:rsidP="006817B6">
      <w:pPr>
        <w:pStyle w:val="ListParagraph"/>
        <w:numPr>
          <w:ilvl w:val="0"/>
          <w:numId w:val="6"/>
        </w:numPr>
        <w:rPr>
          <w:rFonts w:ascii="Times New Roman" w:hAnsi="Times New Roman" w:cs="Times New Roman"/>
          <w:sz w:val="24"/>
          <w:szCs w:val="24"/>
          <w:lang w:val="en-US"/>
        </w:rPr>
      </w:pPr>
      <w:r w:rsidRPr="008E5EF5">
        <w:rPr>
          <w:rFonts w:ascii="Times New Roman" w:hAnsi="Times New Roman" w:cs="Times New Roman"/>
          <w:sz w:val="24"/>
          <w:szCs w:val="24"/>
          <w:lang w:val="en-US"/>
        </w:rPr>
        <w:t>Standardized market analysis documentation requirements to improve consistency of application reviews.</w:t>
      </w:r>
    </w:p>
    <w:p w14:paraId="09556588" w14:textId="3CA7B3F9" w:rsidR="006817B6" w:rsidRPr="006817B6" w:rsidRDefault="006817B6" w:rsidP="006817B6">
      <w:pPr>
        <w:rPr>
          <w:rFonts w:ascii="Times New Roman" w:hAnsi="Times New Roman" w:cs="Times New Roman"/>
          <w:b/>
          <w:bCs/>
          <w:sz w:val="24"/>
          <w:szCs w:val="24"/>
          <w:lang w:val="en-US"/>
        </w:rPr>
      </w:pPr>
      <w:r w:rsidRPr="006817B6">
        <w:rPr>
          <w:rFonts w:ascii="Times New Roman" w:hAnsi="Times New Roman" w:cs="Times New Roman"/>
          <w:b/>
          <w:bCs/>
          <w:sz w:val="24"/>
          <w:szCs w:val="24"/>
          <w:lang w:val="en-US"/>
        </w:rPr>
        <w:t>Scoring &amp; Evaluation</w:t>
      </w:r>
    </w:p>
    <w:p w14:paraId="1E6A0E95" w14:textId="77777777" w:rsidR="006817B6" w:rsidRDefault="006817B6" w:rsidP="006817B6">
      <w:pPr>
        <w:pStyle w:val="ListParagraph"/>
        <w:numPr>
          <w:ilvl w:val="0"/>
          <w:numId w:val="7"/>
        </w:numPr>
        <w:rPr>
          <w:rFonts w:ascii="Times New Roman" w:hAnsi="Times New Roman" w:cs="Times New Roman"/>
          <w:sz w:val="24"/>
          <w:szCs w:val="24"/>
          <w:lang w:val="en-US"/>
        </w:rPr>
      </w:pPr>
      <w:r w:rsidRPr="006817B6">
        <w:rPr>
          <w:rFonts w:ascii="Times New Roman" w:hAnsi="Times New Roman" w:cs="Times New Roman"/>
          <w:sz w:val="24"/>
          <w:szCs w:val="24"/>
          <w:lang w:val="en-US"/>
        </w:rPr>
        <w:t>Added Scoring Summary Certification to streamline scoring documentation.</w:t>
      </w:r>
    </w:p>
    <w:p w14:paraId="41B3028E" w14:textId="135AF905" w:rsidR="006817B6" w:rsidRDefault="008E5EF5" w:rsidP="008E5EF5">
      <w:pPr>
        <w:pStyle w:val="ListParagraph"/>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Removed notary and signature requirements from scoring attachments.</w:t>
      </w:r>
    </w:p>
    <w:p w14:paraId="34E1CDEF" w14:textId="4F3A7DB7" w:rsidR="008E5EF5" w:rsidRPr="008E5EF5" w:rsidRDefault="00940092" w:rsidP="008E5EF5">
      <w:pPr>
        <w:pStyle w:val="ListParagraph"/>
        <w:numPr>
          <w:ilvl w:val="0"/>
          <w:numId w:val="7"/>
        </w:numPr>
        <w:spacing w:after="0" w:line="300" w:lineRule="atLeast"/>
        <w:rPr>
          <w:rFonts w:ascii="Times New Roman" w:eastAsia="Times New Roman" w:hAnsi="Times New Roman" w:cs="Times New Roman"/>
          <w:sz w:val="24"/>
          <w:szCs w:val="24"/>
          <w:lang w:val="en-US"/>
          <w14:ligatures w14:val="none"/>
        </w:rPr>
      </w:pPr>
      <w:r w:rsidRPr="00940092">
        <w:rPr>
          <w:rFonts w:ascii="Times New Roman" w:eastAsia="Times New Roman" w:hAnsi="Times New Roman" w:cs="Times New Roman"/>
          <w:sz w:val="24"/>
          <w:szCs w:val="24"/>
          <w:lang w:val="en-US"/>
          <w14:ligatures w14:val="none"/>
        </w:rPr>
        <w:t>Existing scoring categories, maximum point values, and funding priorities remain unchanged.</w:t>
      </w:r>
    </w:p>
    <w:p w14:paraId="71F34D07" w14:textId="77777777" w:rsidR="00592CF2" w:rsidRPr="008E5EF5" w:rsidRDefault="00592CF2">
      <w:pPr>
        <w:rPr>
          <w:rFonts w:ascii="Times New Roman" w:hAnsi="Times New Roman" w:cs="Times New Roman"/>
          <w:sz w:val="24"/>
          <w:szCs w:val="24"/>
          <w:lang w:val="en-US"/>
        </w:rPr>
      </w:pPr>
    </w:p>
    <w:sectPr w:rsidR="00592CF2" w:rsidRPr="008E5EF5" w:rsidSect="008E3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4E55"/>
    <w:multiLevelType w:val="hybridMultilevel"/>
    <w:tmpl w:val="8CAE6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746A01"/>
    <w:multiLevelType w:val="hybridMultilevel"/>
    <w:tmpl w:val="EA92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5B29F0"/>
    <w:multiLevelType w:val="hybridMultilevel"/>
    <w:tmpl w:val="4810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7370D"/>
    <w:multiLevelType w:val="hybridMultilevel"/>
    <w:tmpl w:val="7884D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4A2803"/>
    <w:multiLevelType w:val="hybridMultilevel"/>
    <w:tmpl w:val="5C48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07334C"/>
    <w:multiLevelType w:val="hybridMultilevel"/>
    <w:tmpl w:val="75281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B15A3F"/>
    <w:multiLevelType w:val="hybridMultilevel"/>
    <w:tmpl w:val="C2642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CD19E6"/>
    <w:multiLevelType w:val="hybridMultilevel"/>
    <w:tmpl w:val="8122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651272">
    <w:abstractNumId w:val="1"/>
  </w:num>
  <w:num w:numId="2" w16cid:durableId="1143154348">
    <w:abstractNumId w:val="3"/>
  </w:num>
  <w:num w:numId="3" w16cid:durableId="1272591088">
    <w:abstractNumId w:val="5"/>
  </w:num>
  <w:num w:numId="4" w16cid:durableId="1429234723">
    <w:abstractNumId w:val="4"/>
  </w:num>
  <w:num w:numId="5" w16cid:durableId="1773434440">
    <w:abstractNumId w:val="6"/>
  </w:num>
  <w:num w:numId="6" w16cid:durableId="967709725">
    <w:abstractNumId w:val="2"/>
  </w:num>
  <w:num w:numId="7" w16cid:durableId="285085526">
    <w:abstractNumId w:val="0"/>
  </w:num>
  <w:num w:numId="8" w16cid:durableId="181556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7B6"/>
    <w:rsid w:val="004D14B1"/>
    <w:rsid w:val="00522A98"/>
    <w:rsid w:val="00592CF2"/>
    <w:rsid w:val="006817B6"/>
    <w:rsid w:val="00762A73"/>
    <w:rsid w:val="00807DB6"/>
    <w:rsid w:val="008E3F94"/>
    <w:rsid w:val="008E5EF5"/>
    <w:rsid w:val="00940092"/>
    <w:rsid w:val="00AA1893"/>
    <w:rsid w:val="00BB3620"/>
    <w:rsid w:val="00CC0C64"/>
    <w:rsid w:val="00E864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C8E4"/>
  <w15:chartTrackingRefBased/>
  <w15:docId w15:val="{EBD12041-051E-4A91-9EAB-C831D590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7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7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7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7B6"/>
    <w:rPr>
      <w:rFonts w:eastAsiaTheme="majorEastAsia" w:cstheme="majorBidi"/>
      <w:color w:val="272727" w:themeColor="text1" w:themeTint="D8"/>
    </w:rPr>
  </w:style>
  <w:style w:type="paragraph" w:styleId="Title">
    <w:name w:val="Title"/>
    <w:basedOn w:val="Normal"/>
    <w:next w:val="Normal"/>
    <w:link w:val="TitleChar"/>
    <w:uiPriority w:val="10"/>
    <w:qFormat/>
    <w:rsid w:val="00681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7B6"/>
    <w:pPr>
      <w:spacing w:before="160"/>
      <w:jc w:val="center"/>
    </w:pPr>
    <w:rPr>
      <w:i/>
      <w:iCs/>
      <w:color w:val="404040" w:themeColor="text1" w:themeTint="BF"/>
    </w:rPr>
  </w:style>
  <w:style w:type="character" w:customStyle="1" w:styleId="QuoteChar">
    <w:name w:val="Quote Char"/>
    <w:basedOn w:val="DefaultParagraphFont"/>
    <w:link w:val="Quote"/>
    <w:uiPriority w:val="29"/>
    <w:rsid w:val="006817B6"/>
    <w:rPr>
      <w:i/>
      <w:iCs/>
      <w:color w:val="404040" w:themeColor="text1" w:themeTint="BF"/>
    </w:rPr>
  </w:style>
  <w:style w:type="paragraph" w:styleId="ListParagraph">
    <w:name w:val="List Paragraph"/>
    <w:basedOn w:val="Normal"/>
    <w:uiPriority w:val="34"/>
    <w:qFormat/>
    <w:rsid w:val="006817B6"/>
    <w:pPr>
      <w:ind w:left="720"/>
      <w:contextualSpacing/>
    </w:pPr>
  </w:style>
  <w:style w:type="character" w:styleId="IntenseEmphasis">
    <w:name w:val="Intense Emphasis"/>
    <w:basedOn w:val="DefaultParagraphFont"/>
    <w:uiPriority w:val="21"/>
    <w:qFormat/>
    <w:rsid w:val="006817B6"/>
    <w:rPr>
      <w:i/>
      <w:iCs/>
      <w:color w:val="0F4761" w:themeColor="accent1" w:themeShade="BF"/>
    </w:rPr>
  </w:style>
  <w:style w:type="paragraph" w:styleId="IntenseQuote">
    <w:name w:val="Intense Quote"/>
    <w:basedOn w:val="Normal"/>
    <w:next w:val="Normal"/>
    <w:link w:val="IntenseQuoteChar"/>
    <w:uiPriority w:val="30"/>
    <w:qFormat/>
    <w:rsid w:val="00681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7B6"/>
    <w:rPr>
      <w:i/>
      <w:iCs/>
      <w:color w:val="0F4761" w:themeColor="accent1" w:themeShade="BF"/>
    </w:rPr>
  </w:style>
  <w:style w:type="character" w:styleId="IntenseReference">
    <w:name w:val="Intense Reference"/>
    <w:basedOn w:val="DefaultParagraphFont"/>
    <w:uiPriority w:val="32"/>
    <w:qFormat/>
    <w:rsid w:val="006817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035126">
      <w:bodyDiv w:val="1"/>
      <w:marLeft w:val="0"/>
      <w:marRight w:val="0"/>
      <w:marTop w:val="0"/>
      <w:marBottom w:val="0"/>
      <w:divBdr>
        <w:top w:val="none" w:sz="0" w:space="0" w:color="auto"/>
        <w:left w:val="none" w:sz="0" w:space="0" w:color="auto"/>
        <w:bottom w:val="none" w:sz="0" w:space="0" w:color="auto"/>
        <w:right w:val="none" w:sz="0" w:space="0" w:color="auto"/>
      </w:divBdr>
      <w:divsChild>
        <w:div w:id="1117480451">
          <w:marLeft w:val="0"/>
          <w:marRight w:val="0"/>
          <w:marTop w:val="0"/>
          <w:marBottom w:val="0"/>
          <w:divBdr>
            <w:top w:val="none" w:sz="0" w:space="0" w:color="auto"/>
            <w:left w:val="none" w:sz="0" w:space="0" w:color="auto"/>
            <w:bottom w:val="none" w:sz="0" w:space="0" w:color="auto"/>
            <w:right w:val="none" w:sz="0" w:space="0" w:color="auto"/>
          </w:divBdr>
        </w:div>
      </w:divsChild>
    </w:div>
    <w:div w:id="1399207946">
      <w:bodyDiv w:val="1"/>
      <w:marLeft w:val="0"/>
      <w:marRight w:val="0"/>
      <w:marTop w:val="0"/>
      <w:marBottom w:val="0"/>
      <w:divBdr>
        <w:top w:val="none" w:sz="0" w:space="0" w:color="auto"/>
        <w:left w:val="none" w:sz="0" w:space="0" w:color="auto"/>
        <w:bottom w:val="none" w:sz="0" w:space="0" w:color="auto"/>
        <w:right w:val="none" w:sz="0" w:space="0" w:color="auto"/>
      </w:divBdr>
      <w:divsChild>
        <w:div w:id="944075126">
          <w:marLeft w:val="0"/>
          <w:marRight w:val="0"/>
          <w:marTop w:val="0"/>
          <w:marBottom w:val="0"/>
          <w:divBdr>
            <w:top w:val="none" w:sz="0" w:space="0" w:color="auto"/>
            <w:left w:val="none" w:sz="0" w:space="0" w:color="auto"/>
            <w:bottom w:val="none" w:sz="0" w:space="0" w:color="auto"/>
            <w:right w:val="none" w:sz="0" w:space="0" w:color="auto"/>
          </w:divBdr>
          <w:divsChild>
            <w:div w:id="1254169816">
              <w:marLeft w:val="0"/>
              <w:marRight w:val="0"/>
              <w:marTop w:val="0"/>
              <w:marBottom w:val="0"/>
              <w:divBdr>
                <w:top w:val="none" w:sz="0" w:space="0" w:color="auto"/>
                <w:left w:val="none" w:sz="0" w:space="0" w:color="auto"/>
                <w:bottom w:val="none" w:sz="0" w:space="0" w:color="auto"/>
                <w:right w:val="none" w:sz="0" w:space="0" w:color="auto"/>
              </w:divBdr>
              <w:divsChild>
                <w:div w:id="1797600572">
                  <w:marLeft w:val="0"/>
                  <w:marRight w:val="0"/>
                  <w:marTop w:val="0"/>
                  <w:marBottom w:val="0"/>
                  <w:divBdr>
                    <w:top w:val="none" w:sz="0" w:space="0" w:color="auto"/>
                    <w:left w:val="none" w:sz="0" w:space="0" w:color="auto"/>
                    <w:bottom w:val="none" w:sz="0" w:space="0" w:color="auto"/>
                    <w:right w:val="none" w:sz="0" w:space="0" w:color="auto"/>
                  </w:divBdr>
                  <w:divsChild>
                    <w:div w:id="254214457">
                      <w:marLeft w:val="0"/>
                      <w:marRight w:val="0"/>
                      <w:marTop w:val="0"/>
                      <w:marBottom w:val="0"/>
                      <w:divBdr>
                        <w:top w:val="none" w:sz="0" w:space="0" w:color="auto"/>
                        <w:left w:val="none" w:sz="0" w:space="0" w:color="auto"/>
                        <w:bottom w:val="none" w:sz="0" w:space="0" w:color="auto"/>
                        <w:right w:val="none" w:sz="0" w:space="0" w:color="auto"/>
                      </w:divBdr>
                      <w:divsChild>
                        <w:div w:id="1752238915">
                          <w:marLeft w:val="0"/>
                          <w:marRight w:val="0"/>
                          <w:marTop w:val="0"/>
                          <w:marBottom w:val="0"/>
                          <w:divBdr>
                            <w:top w:val="none" w:sz="0" w:space="0" w:color="auto"/>
                            <w:left w:val="none" w:sz="0" w:space="0" w:color="auto"/>
                            <w:bottom w:val="none" w:sz="0" w:space="0" w:color="auto"/>
                            <w:right w:val="none" w:sz="0" w:space="0" w:color="auto"/>
                          </w:divBdr>
                          <w:divsChild>
                            <w:div w:id="907036620">
                              <w:marLeft w:val="0"/>
                              <w:marRight w:val="0"/>
                              <w:marTop w:val="0"/>
                              <w:marBottom w:val="0"/>
                              <w:divBdr>
                                <w:top w:val="none" w:sz="0" w:space="0" w:color="auto"/>
                                <w:left w:val="none" w:sz="0" w:space="0" w:color="auto"/>
                                <w:bottom w:val="none" w:sz="0" w:space="0" w:color="auto"/>
                                <w:right w:val="none" w:sz="0" w:space="0" w:color="auto"/>
                              </w:divBdr>
                              <w:divsChild>
                                <w:div w:id="2141342423">
                                  <w:marLeft w:val="0"/>
                                  <w:marRight w:val="0"/>
                                  <w:marTop w:val="0"/>
                                  <w:marBottom w:val="0"/>
                                  <w:divBdr>
                                    <w:top w:val="none" w:sz="0" w:space="0" w:color="auto"/>
                                    <w:left w:val="none" w:sz="0" w:space="0" w:color="auto"/>
                                    <w:bottom w:val="none" w:sz="0" w:space="0" w:color="auto"/>
                                    <w:right w:val="none" w:sz="0" w:space="0" w:color="auto"/>
                                  </w:divBdr>
                                  <w:divsChild>
                                    <w:div w:id="1808859596">
                                      <w:marLeft w:val="0"/>
                                      <w:marRight w:val="0"/>
                                      <w:marTop w:val="0"/>
                                      <w:marBottom w:val="0"/>
                                      <w:divBdr>
                                        <w:top w:val="none" w:sz="0" w:space="0" w:color="auto"/>
                                        <w:left w:val="none" w:sz="0" w:space="0" w:color="auto"/>
                                        <w:bottom w:val="none" w:sz="0" w:space="0" w:color="auto"/>
                                        <w:right w:val="none" w:sz="0" w:space="0" w:color="auto"/>
                                      </w:divBdr>
                                      <w:divsChild>
                                        <w:div w:id="1741756240">
                                          <w:marLeft w:val="0"/>
                                          <w:marRight w:val="0"/>
                                          <w:marTop w:val="0"/>
                                          <w:marBottom w:val="0"/>
                                          <w:divBdr>
                                            <w:top w:val="none" w:sz="0" w:space="0" w:color="auto"/>
                                            <w:left w:val="none" w:sz="0" w:space="0" w:color="auto"/>
                                            <w:bottom w:val="none" w:sz="0" w:space="0" w:color="auto"/>
                                            <w:right w:val="none" w:sz="0" w:space="0" w:color="auto"/>
                                          </w:divBdr>
                                          <w:divsChild>
                                            <w:div w:id="1450783927">
                                              <w:marLeft w:val="0"/>
                                              <w:marRight w:val="0"/>
                                              <w:marTop w:val="0"/>
                                              <w:marBottom w:val="0"/>
                                              <w:divBdr>
                                                <w:top w:val="none" w:sz="0" w:space="0" w:color="auto"/>
                                                <w:left w:val="none" w:sz="0" w:space="0" w:color="auto"/>
                                                <w:bottom w:val="none" w:sz="0" w:space="0" w:color="auto"/>
                                                <w:right w:val="none" w:sz="0" w:space="0" w:color="auto"/>
                                              </w:divBdr>
                                              <w:divsChild>
                                                <w:div w:id="1211654466">
                                                  <w:marLeft w:val="0"/>
                                                  <w:marRight w:val="0"/>
                                                  <w:marTop w:val="0"/>
                                                  <w:marBottom w:val="0"/>
                                                  <w:divBdr>
                                                    <w:top w:val="none" w:sz="0" w:space="0" w:color="auto"/>
                                                    <w:left w:val="none" w:sz="0" w:space="0" w:color="auto"/>
                                                    <w:bottom w:val="none" w:sz="0" w:space="0" w:color="auto"/>
                                                    <w:right w:val="none" w:sz="0" w:space="0" w:color="auto"/>
                                                  </w:divBdr>
                                                  <w:divsChild>
                                                    <w:div w:id="1160342774">
                                                      <w:marLeft w:val="0"/>
                                                      <w:marRight w:val="0"/>
                                                      <w:marTop w:val="0"/>
                                                      <w:marBottom w:val="0"/>
                                                      <w:divBdr>
                                                        <w:top w:val="none" w:sz="0" w:space="0" w:color="auto"/>
                                                        <w:left w:val="none" w:sz="0" w:space="0" w:color="auto"/>
                                                        <w:bottom w:val="none" w:sz="0" w:space="0" w:color="auto"/>
                                                        <w:right w:val="none" w:sz="0" w:space="0" w:color="auto"/>
                                                      </w:divBdr>
                                                      <w:divsChild>
                                                        <w:div w:id="743258118">
                                                          <w:marLeft w:val="0"/>
                                                          <w:marRight w:val="0"/>
                                                          <w:marTop w:val="0"/>
                                                          <w:marBottom w:val="0"/>
                                                          <w:divBdr>
                                                            <w:top w:val="none" w:sz="0" w:space="0" w:color="auto"/>
                                                            <w:left w:val="none" w:sz="0" w:space="0" w:color="auto"/>
                                                            <w:bottom w:val="none" w:sz="0" w:space="0" w:color="auto"/>
                                                            <w:right w:val="none" w:sz="0" w:space="0" w:color="auto"/>
                                                          </w:divBdr>
                                                          <w:divsChild>
                                                            <w:div w:id="18898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4170515">
              <w:marLeft w:val="0"/>
              <w:marRight w:val="0"/>
              <w:marTop w:val="0"/>
              <w:marBottom w:val="0"/>
              <w:divBdr>
                <w:top w:val="none" w:sz="0" w:space="0" w:color="auto"/>
                <w:left w:val="none" w:sz="0" w:space="0" w:color="auto"/>
                <w:bottom w:val="none" w:sz="0" w:space="0" w:color="auto"/>
                <w:right w:val="none" w:sz="0" w:space="0" w:color="auto"/>
              </w:divBdr>
              <w:divsChild>
                <w:div w:id="315303204">
                  <w:marLeft w:val="0"/>
                  <w:marRight w:val="0"/>
                  <w:marTop w:val="0"/>
                  <w:marBottom w:val="0"/>
                  <w:divBdr>
                    <w:top w:val="none" w:sz="0" w:space="0" w:color="auto"/>
                    <w:left w:val="none" w:sz="0" w:space="0" w:color="auto"/>
                    <w:bottom w:val="none" w:sz="0" w:space="0" w:color="auto"/>
                    <w:right w:val="none" w:sz="0" w:space="0" w:color="auto"/>
                  </w:divBdr>
                  <w:divsChild>
                    <w:div w:id="523252336">
                      <w:marLeft w:val="0"/>
                      <w:marRight w:val="0"/>
                      <w:marTop w:val="0"/>
                      <w:marBottom w:val="0"/>
                      <w:divBdr>
                        <w:top w:val="none" w:sz="0" w:space="0" w:color="auto"/>
                        <w:left w:val="none" w:sz="0" w:space="0" w:color="auto"/>
                        <w:bottom w:val="none" w:sz="0" w:space="0" w:color="auto"/>
                        <w:right w:val="none" w:sz="0" w:space="0" w:color="auto"/>
                      </w:divBdr>
                      <w:divsChild>
                        <w:div w:id="1806973363">
                          <w:marLeft w:val="0"/>
                          <w:marRight w:val="0"/>
                          <w:marTop w:val="0"/>
                          <w:marBottom w:val="0"/>
                          <w:divBdr>
                            <w:top w:val="none" w:sz="0" w:space="0" w:color="auto"/>
                            <w:left w:val="none" w:sz="0" w:space="0" w:color="auto"/>
                            <w:bottom w:val="none" w:sz="0" w:space="0" w:color="auto"/>
                            <w:right w:val="none" w:sz="0" w:space="0" w:color="auto"/>
                          </w:divBdr>
                          <w:divsChild>
                            <w:div w:id="967860370">
                              <w:marLeft w:val="0"/>
                              <w:marRight w:val="0"/>
                              <w:marTop w:val="0"/>
                              <w:marBottom w:val="0"/>
                              <w:divBdr>
                                <w:top w:val="none" w:sz="0" w:space="0" w:color="auto"/>
                                <w:left w:val="none" w:sz="0" w:space="0" w:color="auto"/>
                                <w:bottom w:val="none" w:sz="0" w:space="0" w:color="auto"/>
                                <w:right w:val="none" w:sz="0" w:space="0" w:color="auto"/>
                              </w:divBdr>
                              <w:divsChild>
                                <w:div w:id="3293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503599">
      <w:bodyDiv w:val="1"/>
      <w:marLeft w:val="0"/>
      <w:marRight w:val="0"/>
      <w:marTop w:val="0"/>
      <w:marBottom w:val="0"/>
      <w:divBdr>
        <w:top w:val="none" w:sz="0" w:space="0" w:color="auto"/>
        <w:left w:val="none" w:sz="0" w:space="0" w:color="auto"/>
        <w:bottom w:val="none" w:sz="0" w:space="0" w:color="auto"/>
        <w:right w:val="none" w:sz="0" w:space="0" w:color="auto"/>
      </w:divBdr>
      <w:divsChild>
        <w:div w:id="1849829882">
          <w:marLeft w:val="0"/>
          <w:marRight w:val="0"/>
          <w:marTop w:val="0"/>
          <w:marBottom w:val="0"/>
          <w:divBdr>
            <w:top w:val="none" w:sz="0" w:space="0" w:color="auto"/>
            <w:left w:val="none" w:sz="0" w:space="0" w:color="auto"/>
            <w:bottom w:val="none" w:sz="0" w:space="0" w:color="auto"/>
            <w:right w:val="none" w:sz="0" w:space="0" w:color="auto"/>
          </w:divBdr>
        </w:div>
      </w:divsChild>
    </w:div>
    <w:div w:id="1651323548">
      <w:bodyDiv w:val="1"/>
      <w:marLeft w:val="0"/>
      <w:marRight w:val="0"/>
      <w:marTop w:val="0"/>
      <w:marBottom w:val="0"/>
      <w:divBdr>
        <w:top w:val="none" w:sz="0" w:space="0" w:color="auto"/>
        <w:left w:val="none" w:sz="0" w:space="0" w:color="auto"/>
        <w:bottom w:val="none" w:sz="0" w:space="0" w:color="auto"/>
        <w:right w:val="none" w:sz="0" w:space="0" w:color="auto"/>
      </w:divBdr>
      <w:divsChild>
        <w:div w:id="2123761800">
          <w:marLeft w:val="0"/>
          <w:marRight w:val="0"/>
          <w:marTop w:val="0"/>
          <w:marBottom w:val="0"/>
          <w:divBdr>
            <w:top w:val="none" w:sz="0" w:space="0" w:color="auto"/>
            <w:left w:val="none" w:sz="0" w:space="0" w:color="auto"/>
            <w:bottom w:val="none" w:sz="0" w:space="0" w:color="auto"/>
            <w:right w:val="none" w:sz="0" w:space="0" w:color="auto"/>
          </w:divBdr>
          <w:divsChild>
            <w:div w:id="813571772">
              <w:marLeft w:val="0"/>
              <w:marRight w:val="0"/>
              <w:marTop w:val="0"/>
              <w:marBottom w:val="0"/>
              <w:divBdr>
                <w:top w:val="none" w:sz="0" w:space="0" w:color="auto"/>
                <w:left w:val="none" w:sz="0" w:space="0" w:color="auto"/>
                <w:bottom w:val="none" w:sz="0" w:space="0" w:color="auto"/>
                <w:right w:val="none" w:sz="0" w:space="0" w:color="auto"/>
              </w:divBdr>
              <w:divsChild>
                <w:div w:id="812021856">
                  <w:marLeft w:val="0"/>
                  <w:marRight w:val="0"/>
                  <w:marTop w:val="0"/>
                  <w:marBottom w:val="0"/>
                  <w:divBdr>
                    <w:top w:val="none" w:sz="0" w:space="0" w:color="auto"/>
                    <w:left w:val="none" w:sz="0" w:space="0" w:color="auto"/>
                    <w:bottom w:val="none" w:sz="0" w:space="0" w:color="auto"/>
                    <w:right w:val="none" w:sz="0" w:space="0" w:color="auto"/>
                  </w:divBdr>
                  <w:divsChild>
                    <w:div w:id="521624313">
                      <w:marLeft w:val="0"/>
                      <w:marRight w:val="0"/>
                      <w:marTop w:val="0"/>
                      <w:marBottom w:val="0"/>
                      <w:divBdr>
                        <w:top w:val="none" w:sz="0" w:space="0" w:color="auto"/>
                        <w:left w:val="none" w:sz="0" w:space="0" w:color="auto"/>
                        <w:bottom w:val="none" w:sz="0" w:space="0" w:color="auto"/>
                        <w:right w:val="none" w:sz="0" w:space="0" w:color="auto"/>
                      </w:divBdr>
                      <w:divsChild>
                        <w:div w:id="1654947763">
                          <w:marLeft w:val="0"/>
                          <w:marRight w:val="0"/>
                          <w:marTop w:val="0"/>
                          <w:marBottom w:val="0"/>
                          <w:divBdr>
                            <w:top w:val="none" w:sz="0" w:space="0" w:color="auto"/>
                            <w:left w:val="none" w:sz="0" w:space="0" w:color="auto"/>
                            <w:bottom w:val="none" w:sz="0" w:space="0" w:color="auto"/>
                            <w:right w:val="none" w:sz="0" w:space="0" w:color="auto"/>
                          </w:divBdr>
                          <w:divsChild>
                            <w:div w:id="192153439">
                              <w:marLeft w:val="0"/>
                              <w:marRight w:val="0"/>
                              <w:marTop w:val="0"/>
                              <w:marBottom w:val="0"/>
                              <w:divBdr>
                                <w:top w:val="none" w:sz="0" w:space="0" w:color="auto"/>
                                <w:left w:val="none" w:sz="0" w:space="0" w:color="auto"/>
                                <w:bottom w:val="none" w:sz="0" w:space="0" w:color="auto"/>
                                <w:right w:val="none" w:sz="0" w:space="0" w:color="auto"/>
                              </w:divBdr>
                              <w:divsChild>
                                <w:div w:id="2036734014">
                                  <w:marLeft w:val="0"/>
                                  <w:marRight w:val="0"/>
                                  <w:marTop w:val="0"/>
                                  <w:marBottom w:val="0"/>
                                  <w:divBdr>
                                    <w:top w:val="none" w:sz="0" w:space="0" w:color="auto"/>
                                    <w:left w:val="none" w:sz="0" w:space="0" w:color="auto"/>
                                    <w:bottom w:val="none" w:sz="0" w:space="0" w:color="auto"/>
                                    <w:right w:val="none" w:sz="0" w:space="0" w:color="auto"/>
                                  </w:divBdr>
                                  <w:divsChild>
                                    <w:div w:id="1381132041">
                                      <w:marLeft w:val="0"/>
                                      <w:marRight w:val="0"/>
                                      <w:marTop w:val="0"/>
                                      <w:marBottom w:val="0"/>
                                      <w:divBdr>
                                        <w:top w:val="none" w:sz="0" w:space="0" w:color="auto"/>
                                        <w:left w:val="none" w:sz="0" w:space="0" w:color="auto"/>
                                        <w:bottom w:val="none" w:sz="0" w:space="0" w:color="auto"/>
                                        <w:right w:val="none" w:sz="0" w:space="0" w:color="auto"/>
                                      </w:divBdr>
                                      <w:divsChild>
                                        <w:div w:id="379135791">
                                          <w:marLeft w:val="0"/>
                                          <w:marRight w:val="0"/>
                                          <w:marTop w:val="0"/>
                                          <w:marBottom w:val="0"/>
                                          <w:divBdr>
                                            <w:top w:val="none" w:sz="0" w:space="0" w:color="auto"/>
                                            <w:left w:val="none" w:sz="0" w:space="0" w:color="auto"/>
                                            <w:bottom w:val="none" w:sz="0" w:space="0" w:color="auto"/>
                                            <w:right w:val="none" w:sz="0" w:space="0" w:color="auto"/>
                                          </w:divBdr>
                                          <w:divsChild>
                                            <w:div w:id="1955749658">
                                              <w:marLeft w:val="0"/>
                                              <w:marRight w:val="0"/>
                                              <w:marTop w:val="0"/>
                                              <w:marBottom w:val="0"/>
                                              <w:divBdr>
                                                <w:top w:val="none" w:sz="0" w:space="0" w:color="auto"/>
                                                <w:left w:val="none" w:sz="0" w:space="0" w:color="auto"/>
                                                <w:bottom w:val="none" w:sz="0" w:space="0" w:color="auto"/>
                                                <w:right w:val="none" w:sz="0" w:space="0" w:color="auto"/>
                                              </w:divBdr>
                                              <w:divsChild>
                                                <w:div w:id="250088262">
                                                  <w:marLeft w:val="0"/>
                                                  <w:marRight w:val="0"/>
                                                  <w:marTop w:val="0"/>
                                                  <w:marBottom w:val="0"/>
                                                  <w:divBdr>
                                                    <w:top w:val="none" w:sz="0" w:space="0" w:color="auto"/>
                                                    <w:left w:val="none" w:sz="0" w:space="0" w:color="auto"/>
                                                    <w:bottom w:val="none" w:sz="0" w:space="0" w:color="auto"/>
                                                    <w:right w:val="none" w:sz="0" w:space="0" w:color="auto"/>
                                                  </w:divBdr>
                                                  <w:divsChild>
                                                    <w:div w:id="877011577">
                                                      <w:marLeft w:val="0"/>
                                                      <w:marRight w:val="0"/>
                                                      <w:marTop w:val="0"/>
                                                      <w:marBottom w:val="0"/>
                                                      <w:divBdr>
                                                        <w:top w:val="none" w:sz="0" w:space="0" w:color="auto"/>
                                                        <w:left w:val="none" w:sz="0" w:space="0" w:color="auto"/>
                                                        <w:bottom w:val="none" w:sz="0" w:space="0" w:color="auto"/>
                                                        <w:right w:val="none" w:sz="0" w:space="0" w:color="auto"/>
                                                      </w:divBdr>
                                                      <w:divsChild>
                                                        <w:div w:id="615451510">
                                                          <w:marLeft w:val="0"/>
                                                          <w:marRight w:val="0"/>
                                                          <w:marTop w:val="0"/>
                                                          <w:marBottom w:val="0"/>
                                                          <w:divBdr>
                                                            <w:top w:val="none" w:sz="0" w:space="0" w:color="auto"/>
                                                            <w:left w:val="none" w:sz="0" w:space="0" w:color="auto"/>
                                                            <w:bottom w:val="none" w:sz="0" w:space="0" w:color="auto"/>
                                                            <w:right w:val="none" w:sz="0" w:space="0" w:color="auto"/>
                                                          </w:divBdr>
                                                          <w:divsChild>
                                                            <w:div w:id="74226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6012754">
              <w:marLeft w:val="0"/>
              <w:marRight w:val="0"/>
              <w:marTop w:val="0"/>
              <w:marBottom w:val="0"/>
              <w:divBdr>
                <w:top w:val="none" w:sz="0" w:space="0" w:color="auto"/>
                <w:left w:val="none" w:sz="0" w:space="0" w:color="auto"/>
                <w:bottom w:val="none" w:sz="0" w:space="0" w:color="auto"/>
                <w:right w:val="none" w:sz="0" w:space="0" w:color="auto"/>
              </w:divBdr>
              <w:divsChild>
                <w:div w:id="2042630364">
                  <w:marLeft w:val="0"/>
                  <w:marRight w:val="0"/>
                  <w:marTop w:val="0"/>
                  <w:marBottom w:val="0"/>
                  <w:divBdr>
                    <w:top w:val="none" w:sz="0" w:space="0" w:color="auto"/>
                    <w:left w:val="none" w:sz="0" w:space="0" w:color="auto"/>
                    <w:bottom w:val="none" w:sz="0" w:space="0" w:color="auto"/>
                    <w:right w:val="none" w:sz="0" w:space="0" w:color="auto"/>
                  </w:divBdr>
                  <w:divsChild>
                    <w:div w:id="1742144412">
                      <w:marLeft w:val="0"/>
                      <w:marRight w:val="0"/>
                      <w:marTop w:val="0"/>
                      <w:marBottom w:val="0"/>
                      <w:divBdr>
                        <w:top w:val="none" w:sz="0" w:space="0" w:color="auto"/>
                        <w:left w:val="none" w:sz="0" w:space="0" w:color="auto"/>
                        <w:bottom w:val="none" w:sz="0" w:space="0" w:color="auto"/>
                        <w:right w:val="none" w:sz="0" w:space="0" w:color="auto"/>
                      </w:divBdr>
                      <w:divsChild>
                        <w:div w:id="1676376976">
                          <w:marLeft w:val="0"/>
                          <w:marRight w:val="0"/>
                          <w:marTop w:val="0"/>
                          <w:marBottom w:val="0"/>
                          <w:divBdr>
                            <w:top w:val="none" w:sz="0" w:space="0" w:color="auto"/>
                            <w:left w:val="none" w:sz="0" w:space="0" w:color="auto"/>
                            <w:bottom w:val="none" w:sz="0" w:space="0" w:color="auto"/>
                            <w:right w:val="none" w:sz="0" w:space="0" w:color="auto"/>
                          </w:divBdr>
                          <w:divsChild>
                            <w:div w:id="786461373">
                              <w:marLeft w:val="0"/>
                              <w:marRight w:val="0"/>
                              <w:marTop w:val="0"/>
                              <w:marBottom w:val="0"/>
                              <w:divBdr>
                                <w:top w:val="none" w:sz="0" w:space="0" w:color="auto"/>
                                <w:left w:val="none" w:sz="0" w:space="0" w:color="auto"/>
                                <w:bottom w:val="none" w:sz="0" w:space="0" w:color="auto"/>
                                <w:right w:val="none" w:sz="0" w:space="0" w:color="auto"/>
                              </w:divBdr>
                              <w:divsChild>
                                <w:div w:id="2770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599879">
      <w:bodyDiv w:val="1"/>
      <w:marLeft w:val="0"/>
      <w:marRight w:val="0"/>
      <w:marTop w:val="0"/>
      <w:marBottom w:val="0"/>
      <w:divBdr>
        <w:top w:val="none" w:sz="0" w:space="0" w:color="auto"/>
        <w:left w:val="none" w:sz="0" w:space="0" w:color="auto"/>
        <w:bottom w:val="none" w:sz="0" w:space="0" w:color="auto"/>
        <w:right w:val="none" w:sz="0" w:space="0" w:color="auto"/>
      </w:divBdr>
      <w:divsChild>
        <w:div w:id="1775054614">
          <w:marLeft w:val="0"/>
          <w:marRight w:val="0"/>
          <w:marTop w:val="0"/>
          <w:marBottom w:val="0"/>
          <w:divBdr>
            <w:top w:val="none" w:sz="0" w:space="0" w:color="auto"/>
            <w:left w:val="none" w:sz="0" w:space="0" w:color="auto"/>
            <w:bottom w:val="none" w:sz="0" w:space="0" w:color="auto"/>
            <w:right w:val="none" w:sz="0" w:space="0" w:color="auto"/>
          </w:divBdr>
        </w:div>
      </w:divsChild>
    </w:div>
    <w:div w:id="2124641747">
      <w:bodyDiv w:val="1"/>
      <w:marLeft w:val="0"/>
      <w:marRight w:val="0"/>
      <w:marTop w:val="0"/>
      <w:marBottom w:val="0"/>
      <w:divBdr>
        <w:top w:val="none" w:sz="0" w:space="0" w:color="auto"/>
        <w:left w:val="none" w:sz="0" w:space="0" w:color="auto"/>
        <w:bottom w:val="none" w:sz="0" w:space="0" w:color="auto"/>
        <w:right w:val="none" w:sz="0" w:space="0" w:color="auto"/>
      </w:divBdr>
      <w:divsChild>
        <w:div w:id="849373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Myers</dc:creator>
  <cp:keywords/>
  <dc:description/>
  <cp:lastModifiedBy>Emily Myers</cp:lastModifiedBy>
  <cp:revision>2</cp:revision>
  <dcterms:created xsi:type="dcterms:W3CDTF">2026-07-30T20:50:00Z</dcterms:created>
  <dcterms:modified xsi:type="dcterms:W3CDTF">2026-07-30T20:50:00Z</dcterms:modified>
</cp:coreProperties>
</file>